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D10C0" w14:textId="4A2E6A17" w:rsidR="005A6175" w:rsidRDefault="00481FB1">
      <w:r>
        <w:rPr>
          <w:rFonts w:hint="eastAsia"/>
        </w:rPr>
        <w:t>M</w:t>
      </w:r>
      <w:r>
        <w:t>G Spreading System</w:t>
      </w:r>
      <w:r w:rsidR="004C5851">
        <w:t xml:space="preserve"> Case Study</w:t>
      </w:r>
      <w:r w:rsidR="00B45E52">
        <w:t xml:space="preserve"> | </w:t>
      </w:r>
      <w:r w:rsidR="00F6729B">
        <w:t xml:space="preserve">Spreading </w:t>
      </w:r>
      <w:r w:rsidR="004C5851">
        <w:rPr>
          <w:rFonts w:hint="eastAsia"/>
        </w:rPr>
        <w:t xml:space="preserve">Pesticide and Fertilizer </w:t>
      </w:r>
      <w:r w:rsidR="004C5851">
        <w:t>in Linyi, Sh</w:t>
      </w:r>
      <w:bookmarkStart w:id="0" w:name="_GoBack"/>
      <w:bookmarkEnd w:id="0"/>
      <w:r w:rsidR="004C5851">
        <w:t>andong</w:t>
      </w:r>
    </w:p>
    <w:p w14:paraId="35088D69" w14:textId="77777777" w:rsidR="00234364" w:rsidRDefault="00234364"/>
    <w:p w14:paraId="2425D222" w14:textId="77777777" w:rsidR="00F6729B" w:rsidRDefault="00F6729B">
      <w:r>
        <w:t>Flowing through China’s northeastern city of Liny</w:t>
      </w:r>
      <w:r w:rsidR="00B45E52">
        <w:t>i, the Yi river is the main waterway of the region, irrigating over 131 thousand acres of rice paddies.</w:t>
      </w:r>
    </w:p>
    <w:p w14:paraId="12E57C25" w14:textId="77777777" w:rsidR="00D57B03" w:rsidRDefault="005A6175">
      <w:r>
        <w:rPr>
          <w:noProof/>
        </w:rPr>
        <w:drawing>
          <wp:inline distT="0" distB="0" distL="0" distR="0" wp14:anchorId="6FC9B0E4" wp14:editId="279402C1">
            <wp:extent cx="5267325" cy="2962275"/>
            <wp:effectExtent l="0" t="0" r="9525" b="9525"/>
            <wp:docPr id="5" name="图片 5" descr="C:\Users\tyler.feng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ler.feng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A14AF" w14:textId="02621D55" w:rsidR="0006772C" w:rsidRDefault="00B45E52" w:rsidP="00D57B03">
      <w:bookmarkStart w:id="1" w:name="OLE_LINK2"/>
      <w:bookmarkStart w:id="2" w:name="OLE_LINK3"/>
      <w:r>
        <w:t>The treatment of the</w:t>
      </w:r>
      <w:r w:rsidR="006468FB">
        <w:t>se fields traditionally involve</w:t>
      </w:r>
      <w:r w:rsidR="00F94230">
        <w:t>s</w:t>
      </w:r>
      <w:r>
        <w:t xml:space="preserve"> manual topdressing and pest control at the later stage of the rice planting process. This labor-intensive process is often inefficient, and any </w:t>
      </w:r>
      <w:r w:rsidR="00856C79">
        <w:t xml:space="preserve">delays </w:t>
      </w:r>
      <w:r>
        <w:t xml:space="preserve">would prove a detriment to </w:t>
      </w:r>
      <w:r w:rsidR="00856C79">
        <w:t>the harvest</w:t>
      </w:r>
      <w:r>
        <w:t>.</w:t>
      </w:r>
      <w:bookmarkEnd w:id="1"/>
      <w:bookmarkEnd w:id="2"/>
      <w:r w:rsidR="0006772C">
        <w:t xml:space="preserve"> Recent years have also seen a decrease in labo</w:t>
      </w:r>
      <w:r w:rsidR="001C7A58">
        <w:t>r opportunities in rural areas and</w:t>
      </w:r>
      <w:r w:rsidR="0006772C">
        <w:t xml:space="preserve"> an increase in </w:t>
      </w:r>
      <w:r w:rsidR="00FA37CF">
        <w:t>operational</w:t>
      </w:r>
      <w:r w:rsidR="0006772C">
        <w:t xml:space="preserve"> costs, further restricting seasonal profits.</w:t>
      </w:r>
    </w:p>
    <w:p w14:paraId="267C4ADA" w14:textId="77777777" w:rsidR="00D57B03" w:rsidRDefault="00D57B03" w:rsidP="00D57B03"/>
    <w:p w14:paraId="0841E044" w14:textId="56861EB5" w:rsidR="00FA37CF" w:rsidRDefault="00FA37CF" w:rsidP="00D57B03">
      <w:r>
        <w:t>Imp</w:t>
      </w:r>
      <w:r w:rsidR="00895EF7">
        <w:t>roving rice yield requires multiple factors such as reducing pesticide application at the late stage of rice growth, lowering</w:t>
      </w:r>
      <w:r w:rsidR="00310E39">
        <w:t xml:space="preserve"> labor costs, </w:t>
      </w:r>
      <w:r w:rsidR="00886689">
        <w:t>increasing worker motivation. To accomplish thes</w:t>
      </w:r>
      <w:r w:rsidR="006659AE">
        <w:t>e, Jiajian Agriculture Co., Ltd</w:t>
      </w:r>
      <w:r w:rsidR="00886689">
        <w:t xml:space="preserve"> began exploring methods of efficiency, including a method that combines pesticide and fertilizer distribution into one process.</w:t>
      </w:r>
    </w:p>
    <w:p w14:paraId="123CEBEA" w14:textId="77777777" w:rsidR="00886689" w:rsidRDefault="00886689" w:rsidP="00D57B03"/>
    <w:p w14:paraId="690A0E4E" w14:textId="27F436D0" w:rsidR="00D57B03" w:rsidRDefault="00886689">
      <w:r>
        <w:t>With local conditions in mind, Jiajian Agriculture decided to employ drone technology</w:t>
      </w:r>
      <w:r w:rsidR="00BA2D31">
        <w:t xml:space="preserve"> to distribute a new mixture of fertilizer</w:t>
      </w:r>
      <w:r w:rsidR="00F8322B">
        <w:t xml:space="preserve">, slow-release urea, and </w:t>
      </w:r>
      <w:r w:rsidR="00F8322B" w:rsidRPr="00F2048D">
        <w:t>thiamethoxam</w:t>
      </w:r>
      <w:r w:rsidR="00E50C26">
        <w:t xml:space="preserve">. This mixture promotes crop growth with a mixture of nitrogen, zinc, magnesium, and boron, as well as controls </w:t>
      </w:r>
      <w:r w:rsidR="00F8322B">
        <w:t>pests such as planthoppers</w:t>
      </w:r>
      <w:r w:rsidR="00E50C26">
        <w:t>.</w:t>
      </w:r>
    </w:p>
    <w:p w14:paraId="41D3BB60" w14:textId="77777777" w:rsidR="00D57B03" w:rsidRDefault="00D57B03" w:rsidP="00D57B03"/>
    <w:p w14:paraId="4C4479D9" w14:textId="5EE798E9" w:rsidR="00E50C26" w:rsidRDefault="009C6A10" w:rsidP="00D57B03">
      <w:r>
        <w:t>J</w:t>
      </w:r>
      <w:r>
        <w:rPr>
          <w:rFonts w:hint="eastAsia"/>
        </w:rPr>
        <w:t xml:space="preserve">ing Yang, </w:t>
      </w:r>
      <w:r>
        <w:t xml:space="preserve">business manager </w:t>
      </w:r>
      <w:r w:rsidR="00E50C26">
        <w:t>for</w:t>
      </w:r>
      <w:r>
        <w:t xml:space="preserve"> Jiajian Agriculture, </w:t>
      </w:r>
      <w:r w:rsidR="00E50C26">
        <w:t xml:space="preserve">has extensive experience mixing agricultural materials, and has long considered a mixture of pesticide and fertilizer. Unfortunately, limitations in equipment prevented him from distributing </w:t>
      </w:r>
      <w:r w:rsidR="00F94230">
        <w:t>the combination evenly. That is</w:t>
      </w:r>
      <w:r w:rsidR="00E50C26">
        <w:t xml:space="preserve"> until he found out about the DJI MG series. With its official launch, Jing Yang was finally able to put his theories into practice.</w:t>
      </w:r>
    </w:p>
    <w:p w14:paraId="50EFA438" w14:textId="77777777" w:rsidR="00E50C26" w:rsidRDefault="00E50C26" w:rsidP="00D57B03"/>
    <w:p w14:paraId="147BD08A" w14:textId="25A21D12" w:rsidR="00E50C26" w:rsidRDefault="00E50C26" w:rsidP="00D57B03">
      <w:r>
        <w:t>Learning about the specifications of the MG series, Jing Yang contacted the Shandong dealer for DJI Agriculture, who arrived to conduct an aerial spraying of the pesticide and fertilizer mixture.</w:t>
      </w:r>
    </w:p>
    <w:p w14:paraId="28E22D02" w14:textId="77777777" w:rsidR="00D57B03" w:rsidRDefault="00D57B03" w:rsidP="00D57B03"/>
    <w:p w14:paraId="07E5639F" w14:textId="43ED589B" w:rsidR="00D57B03" w:rsidRDefault="00CB6554" w:rsidP="00D57B03">
      <w:r>
        <w:lastRenderedPageBreak/>
        <w:t xml:space="preserve">After the </w:t>
      </w:r>
      <w:r w:rsidR="00E50C26">
        <w:t>demonstration</w:t>
      </w:r>
      <w:r>
        <w:t xml:space="preserve">, Jing Yang explained the results in detail. </w:t>
      </w:r>
    </w:p>
    <w:p w14:paraId="062B7F97" w14:textId="77777777" w:rsidR="00D57B03" w:rsidRDefault="00166301" w:rsidP="00D57B03">
      <w:r>
        <w:rPr>
          <w:noProof/>
        </w:rPr>
        <w:drawing>
          <wp:inline distT="0" distB="0" distL="0" distR="0" wp14:anchorId="743A7D8D" wp14:editId="02EF8974">
            <wp:extent cx="4391025" cy="3176148"/>
            <wp:effectExtent l="0" t="0" r="0" b="5715"/>
            <wp:docPr id="1" name="图片 1" descr="C:\Users\tyler.feng\Desktop\微信图片_2018081010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ler.feng\Desktop\微信图片_201808101033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90" cy="317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A7981" w14:textId="77777777" w:rsidR="00D57B03" w:rsidRDefault="00D57B03" w:rsidP="00D57B03"/>
    <w:p w14:paraId="6BA425CC" w14:textId="28224703" w:rsidR="00D57B03" w:rsidRDefault="00CB6554" w:rsidP="00D57B03">
      <w:r>
        <w:rPr>
          <w:rFonts w:hint="eastAsia"/>
        </w:rPr>
        <w:t xml:space="preserve">In this </w:t>
      </w:r>
      <w:r w:rsidR="00E50C26">
        <w:t>demonstration</w:t>
      </w:r>
      <w:r>
        <w:rPr>
          <w:rFonts w:hint="eastAsia"/>
        </w:rPr>
        <w:t xml:space="preserve">, Jing Yang selected </w:t>
      </w:r>
      <w:r w:rsidR="00E50C26">
        <w:t xml:space="preserve">a </w:t>
      </w:r>
      <w:r>
        <w:t>0.66</w:t>
      </w:r>
      <w:r w:rsidR="00E50C26">
        <w:t>-</w:t>
      </w:r>
      <w:r>
        <w:t xml:space="preserve">acre rice field in </w:t>
      </w:r>
      <w:r w:rsidR="00E50C26">
        <w:t xml:space="preserve">the </w:t>
      </w:r>
      <w:r>
        <w:t>Xu-Tai-Ping Village</w:t>
      </w:r>
      <w:r w:rsidR="00E50C26">
        <w:t xml:space="preserve"> of </w:t>
      </w:r>
      <w:r>
        <w:t>Hedong District, used the Linyi No. 16 rice and transplanted them for 10 days</w:t>
      </w:r>
      <w:r w:rsidR="00E50C26">
        <w:t>, starting on</w:t>
      </w:r>
      <w:r>
        <w:t xml:space="preserve"> July 5</w:t>
      </w:r>
      <w:r w:rsidR="00E50C26">
        <w:t>,</w:t>
      </w:r>
      <w:r>
        <w:t xml:space="preserve"> 2018.</w:t>
      </w:r>
    </w:p>
    <w:p w14:paraId="134AFE72" w14:textId="77777777" w:rsidR="00D57B03" w:rsidRDefault="00D57B03" w:rsidP="00D57B03"/>
    <w:p w14:paraId="3F100E4A" w14:textId="358D9EA9" w:rsidR="00D57B03" w:rsidRDefault="006659AE" w:rsidP="00D57B03">
      <w:bookmarkStart w:id="3" w:name="OLE_LINK5"/>
      <w:r>
        <w:t>Shanghai Yue-Wei Plant Nutrition Technology Co., Ltd developed t</w:t>
      </w:r>
      <w:r w:rsidR="00527F07">
        <w:rPr>
          <w:rFonts w:hint="eastAsia"/>
        </w:rPr>
        <w:t xml:space="preserve">he </w:t>
      </w:r>
      <w:r w:rsidR="00527F07">
        <w:t>special fertilizer, which supplements the elements that are easily missing during rice planting</w:t>
      </w:r>
      <w:r>
        <w:t>,</w:t>
      </w:r>
      <w:r w:rsidR="00527F07">
        <w:t xml:space="preserve"> according to the characteristics of rice growth.</w:t>
      </w:r>
      <w:r w:rsidR="001323C5">
        <w:t xml:space="preserve"> </w:t>
      </w:r>
      <w:r w:rsidR="00E07515">
        <w:t>Luxi Chemical Corp. developed t</w:t>
      </w:r>
      <w:r w:rsidR="00AD284B">
        <w:t>he u</w:t>
      </w:r>
      <w:r w:rsidR="001323C5">
        <w:t>rea</w:t>
      </w:r>
      <w:r w:rsidR="00E07515">
        <w:t xml:space="preserve">, </w:t>
      </w:r>
      <w:r w:rsidR="001323C5">
        <w:t>a slow</w:t>
      </w:r>
      <w:r w:rsidR="00E07515">
        <w:t>-</w:t>
      </w:r>
      <w:r w:rsidR="001323C5">
        <w:t>release type that can effectively and continuously supplement nitrogen.</w:t>
      </w:r>
      <w:r w:rsidR="00AD284B">
        <w:t xml:space="preserve"> </w:t>
      </w:r>
      <w:r w:rsidR="00E07515">
        <w:t>Shanghai Hulian Bio-Pharmaceutical Co., Ltd developed t</w:t>
      </w:r>
      <w:r w:rsidR="00AD284B">
        <w:t xml:space="preserve">he </w:t>
      </w:r>
      <w:r w:rsidR="00AD284B" w:rsidRPr="00AD284B">
        <w:t>thiamethoxam</w:t>
      </w:r>
      <w:r w:rsidR="00E60191">
        <w:t xml:space="preserve">, which can effectively control pests such as rice planthoppers. </w:t>
      </w:r>
    </w:p>
    <w:bookmarkEnd w:id="3"/>
    <w:p w14:paraId="66011388" w14:textId="77777777" w:rsidR="00D57B03" w:rsidRDefault="00D57B03" w:rsidP="00D57B03"/>
    <w:tbl>
      <w:tblPr>
        <w:tblW w:w="8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3083"/>
        <w:gridCol w:w="3083"/>
      </w:tblGrid>
      <w:tr w:rsidR="00D57B03" w:rsidRPr="00D57B03" w14:paraId="49EF16E8" w14:textId="77777777" w:rsidTr="00D57B03">
        <w:trPr>
          <w:trHeight w:val="42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5742C3" w14:textId="77777777" w:rsidR="00D57B03" w:rsidRPr="00D57B03" w:rsidRDefault="00E60191" w:rsidP="00D57B0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Materials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A9246E" w14:textId="77777777" w:rsidR="00D57B03" w:rsidRPr="00D57B03" w:rsidRDefault="00E60191" w:rsidP="00D57B0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Type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E777E4" w14:textId="77777777" w:rsidR="00D57B03" w:rsidRPr="00D57B03" w:rsidRDefault="00E60191" w:rsidP="00D57B0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Dosage per acre</w:t>
            </w:r>
          </w:p>
        </w:tc>
      </w:tr>
      <w:tr w:rsidR="00D57B03" w:rsidRPr="00D57B03" w14:paraId="7C5E4D70" w14:textId="77777777" w:rsidTr="00D57B03">
        <w:trPr>
          <w:trHeight w:val="450"/>
        </w:trPr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4E9B25" w14:textId="77777777" w:rsidR="00D57B03" w:rsidRPr="00D57B03" w:rsidRDefault="00E60191" w:rsidP="00D57B0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Dao Feng</w:t>
            </w:r>
            <w:r w:rsidR="00736F52">
              <w:rPr>
                <w:rFonts w:ascii="Microsoft YaHei UI" w:eastAsia="Microsoft YaHei UI" w:hAnsi="Microsoft YaHei UI" w:cs="宋体"/>
                <w:color w:val="323232"/>
                <w:spacing w:val="8"/>
                <w:kern w:val="0"/>
                <w:szCs w:val="21"/>
              </w:rPr>
              <w:t xml:space="preserve"> Fertilizer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A2C49E" w14:textId="77777777" w:rsidR="00D57B03" w:rsidRPr="00D57B03" w:rsidRDefault="00E60191" w:rsidP="00D57B0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Particles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5DA3B6" w14:textId="669DE1CA" w:rsidR="00D57B03" w:rsidRPr="00D57B03" w:rsidRDefault="00E60191" w:rsidP="00E6019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/>
                <w:color w:val="323232"/>
                <w:spacing w:val="8"/>
                <w:kern w:val="0"/>
                <w:szCs w:val="21"/>
              </w:rPr>
              <w:t>3</w:t>
            </w:r>
            <w:r w:rsidR="00F94230">
              <w:rPr>
                <w:rFonts w:ascii="Microsoft YaHei UI" w:eastAsia="Microsoft YaHei UI" w:hAnsi="Microsoft YaHei UI" w:cs="宋体"/>
                <w:color w:val="323232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宋体"/>
                <w:color w:val="323232"/>
                <w:spacing w:val="8"/>
                <w:kern w:val="0"/>
                <w:szCs w:val="21"/>
              </w:rPr>
              <w:t>kg</w:t>
            </w:r>
          </w:p>
        </w:tc>
      </w:tr>
      <w:tr w:rsidR="00D57B03" w:rsidRPr="00D57B03" w14:paraId="13F171C0" w14:textId="77777777" w:rsidTr="00D57B03">
        <w:trPr>
          <w:trHeight w:val="420"/>
        </w:trPr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CDB71A" w14:textId="77777777" w:rsidR="00D57B03" w:rsidRPr="00D57B03" w:rsidRDefault="00736F52" w:rsidP="00D57B0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Urea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F62C33" w14:textId="77777777" w:rsidR="00D57B03" w:rsidRPr="00D57B03" w:rsidRDefault="00E60191" w:rsidP="00D57B0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Particles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0A6C80" w14:textId="51EC0150" w:rsidR="00D57B03" w:rsidRPr="00D57B03" w:rsidRDefault="00E60191" w:rsidP="00E6019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9</w:t>
            </w:r>
            <w:r w:rsidR="00F94230">
              <w:rPr>
                <w:rFonts w:ascii="Microsoft YaHei UI" w:eastAsia="Microsoft YaHei UI" w:hAnsi="Microsoft YaHei UI" w:cs="宋体"/>
                <w:color w:val="323232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k</w:t>
            </w:r>
            <w:r w:rsidR="00D57B03" w:rsidRPr="00D57B03"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g</w:t>
            </w:r>
          </w:p>
        </w:tc>
      </w:tr>
      <w:tr w:rsidR="00D57B03" w:rsidRPr="00D57B03" w14:paraId="0D363C8B" w14:textId="77777777" w:rsidTr="00D57B03">
        <w:trPr>
          <w:trHeight w:val="450"/>
        </w:trPr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A580FB" w14:textId="77777777" w:rsidR="00D57B03" w:rsidRPr="00D57B03" w:rsidRDefault="00736F52" w:rsidP="00736F5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Dao Huang</w:t>
            </w:r>
            <w:r>
              <w:rPr>
                <w:rFonts w:ascii="Microsoft YaHei UI" w:eastAsia="Microsoft YaHei UI" w:hAnsi="Microsoft YaHei UI" w:cs="宋体"/>
                <w:color w:val="323232"/>
                <w:spacing w:val="8"/>
                <w:kern w:val="0"/>
                <w:szCs w:val="21"/>
              </w:rPr>
              <w:t xml:space="preserve"> J</w:t>
            </w:r>
            <w:r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51F9CB" w14:textId="77777777" w:rsidR="00D57B03" w:rsidRPr="00D57B03" w:rsidRDefault="00736F52" w:rsidP="00D57B0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736F52">
              <w:rPr>
                <w:rFonts w:ascii="Microsoft YaHei UI" w:eastAsia="Microsoft YaHei UI" w:hAnsi="Microsoft YaHei UI" w:cs="宋体"/>
                <w:color w:val="323232"/>
                <w:spacing w:val="8"/>
                <w:kern w:val="0"/>
                <w:szCs w:val="21"/>
              </w:rPr>
              <w:t>Particles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E8CE11" w14:textId="65FB285C" w:rsidR="00D57B03" w:rsidRPr="00D57B03" w:rsidRDefault="00D57B03" w:rsidP="00D57B0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D57B03"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200</w:t>
            </w:r>
            <w:r w:rsidR="00F94230">
              <w:rPr>
                <w:rFonts w:ascii="Microsoft YaHei UI" w:eastAsia="Microsoft YaHei UI" w:hAnsi="Microsoft YaHei UI" w:cs="宋体"/>
                <w:color w:val="323232"/>
                <w:spacing w:val="8"/>
                <w:kern w:val="0"/>
                <w:szCs w:val="21"/>
              </w:rPr>
              <w:t xml:space="preserve"> </w:t>
            </w:r>
            <w:r w:rsidRPr="00D57B03"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g</w:t>
            </w:r>
          </w:p>
        </w:tc>
      </w:tr>
    </w:tbl>
    <w:p w14:paraId="74BD5637" w14:textId="77777777" w:rsidR="00D57B03" w:rsidRDefault="00D57B03" w:rsidP="00D57B03"/>
    <w:p w14:paraId="3581B919" w14:textId="77777777" w:rsidR="00D57B03" w:rsidRDefault="00166301" w:rsidP="00D57B03">
      <w:r>
        <w:rPr>
          <w:noProof/>
        </w:rPr>
        <w:lastRenderedPageBreak/>
        <w:drawing>
          <wp:inline distT="0" distB="0" distL="0" distR="0" wp14:anchorId="3A78EB1A" wp14:editId="4BE0149F">
            <wp:extent cx="5267325" cy="3619500"/>
            <wp:effectExtent l="0" t="0" r="9525" b="0"/>
            <wp:docPr id="2" name="图片 2" descr="C:\Users\tyler.feng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ler.feng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456BF" w14:textId="4B2518B0" w:rsidR="00F94230" w:rsidRDefault="00F94230" w:rsidP="00822AE1">
      <w:pPr>
        <w:jc w:val="center"/>
      </w:pPr>
      <w:r>
        <w:t>The</w:t>
      </w:r>
      <w:r>
        <w:rPr>
          <w:rFonts w:hint="eastAsia"/>
        </w:rPr>
        <w:t xml:space="preserve"> fertilizer and pesticide</w:t>
      </w:r>
      <w:r>
        <w:t xml:space="preserve"> mixture</w:t>
      </w:r>
    </w:p>
    <w:p w14:paraId="0E428992" w14:textId="77777777" w:rsidR="00F94230" w:rsidRDefault="00F94230" w:rsidP="00D57B03"/>
    <w:p w14:paraId="4CA6CD8C" w14:textId="63DA3B22" w:rsidR="00D57B03" w:rsidRPr="00166301" w:rsidRDefault="00736F52" w:rsidP="00D57B03">
      <w:pPr>
        <w:widowControl/>
        <w:shd w:val="clear" w:color="auto" w:fill="FFFFFF"/>
      </w:pPr>
      <w:r>
        <w:rPr>
          <w:rFonts w:hint="eastAsia"/>
        </w:rPr>
        <w:t>The s</w:t>
      </w:r>
      <w:r>
        <w:t xml:space="preserve">praying specifications below </w:t>
      </w:r>
      <w:r w:rsidR="00F94230">
        <w:t xml:space="preserve">are in </w:t>
      </w:r>
      <w:r>
        <w:t>accord</w:t>
      </w:r>
      <w:r w:rsidR="00F94230">
        <w:t>ance with</w:t>
      </w:r>
      <w:r>
        <w:t xml:space="preserve"> the characteristics of the rice field and</w:t>
      </w:r>
      <w:r w:rsidR="00F94230">
        <w:t xml:space="preserve"> </w:t>
      </w:r>
      <w:r>
        <w:t>pesticide</w:t>
      </w:r>
      <w:r w:rsidR="00F94230">
        <w:t>/</w:t>
      </w:r>
      <w:r>
        <w:t>fertilizer mixture</w:t>
      </w:r>
    </w:p>
    <w:tbl>
      <w:tblPr>
        <w:tblW w:w="8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1233"/>
        <w:gridCol w:w="2457"/>
        <w:gridCol w:w="2648"/>
      </w:tblGrid>
      <w:tr w:rsidR="00F94230" w:rsidRPr="00D57B03" w14:paraId="4B6A99F5" w14:textId="77777777" w:rsidTr="00822AE1">
        <w:trPr>
          <w:trHeight w:val="46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28490E" w14:textId="77777777" w:rsidR="00D57B03" w:rsidRPr="00D57B03" w:rsidRDefault="00736F52" w:rsidP="00D57B0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Dosage per acre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8765B8" w14:textId="1C6F8EF8" w:rsidR="00D57B03" w:rsidRPr="00D57B03" w:rsidRDefault="00736F52" w:rsidP="00D57B0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/>
                <w:color w:val="323232"/>
                <w:spacing w:val="8"/>
                <w:kern w:val="0"/>
                <w:szCs w:val="21"/>
              </w:rPr>
              <w:t>1</w:t>
            </w:r>
            <w:r w:rsidR="00D57B03" w:rsidRPr="00D57B03"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5</w:t>
            </w:r>
            <w:r w:rsidR="00F94230">
              <w:rPr>
                <w:rFonts w:ascii="Microsoft YaHei UI" w:eastAsia="Microsoft YaHei UI" w:hAnsi="Microsoft YaHei UI" w:cs="宋体"/>
                <w:color w:val="323232"/>
                <w:spacing w:val="8"/>
                <w:kern w:val="0"/>
                <w:szCs w:val="21"/>
              </w:rPr>
              <w:t xml:space="preserve"> </w:t>
            </w:r>
            <w:r w:rsidR="00D57B03" w:rsidRPr="00D57B03"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KG</w:t>
            </w:r>
          </w:p>
        </w:tc>
        <w:tc>
          <w:tcPr>
            <w:tcW w:w="24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561032" w14:textId="77777777" w:rsidR="00D57B03" w:rsidRPr="00D57B03" w:rsidRDefault="00736F52" w:rsidP="00D57B0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Flight Altitude</w:t>
            </w: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B82B87" w14:textId="0706FC5C" w:rsidR="00D57B03" w:rsidRPr="00D57B03" w:rsidRDefault="00D57B03" w:rsidP="00D57B0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D57B03"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2</w:t>
            </w:r>
            <w:r w:rsidR="00F94230">
              <w:rPr>
                <w:rFonts w:ascii="Microsoft YaHei UI" w:eastAsia="Microsoft YaHei UI" w:hAnsi="Microsoft YaHei UI" w:cs="宋体"/>
                <w:color w:val="323232"/>
                <w:spacing w:val="8"/>
                <w:kern w:val="0"/>
                <w:szCs w:val="21"/>
              </w:rPr>
              <w:t xml:space="preserve"> </w:t>
            </w:r>
            <w:r w:rsidRPr="00D57B03"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M</w:t>
            </w:r>
          </w:p>
        </w:tc>
      </w:tr>
      <w:tr w:rsidR="00F94230" w:rsidRPr="00D57B03" w14:paraId="56A4079A" w14:textId="77777777" w:rsidTr="00822AE1">
        <w:trPr>
          <w:trHeight w:val="480"/>
        </w:trPr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A12385" w14:textId="77777777" w:rsidR="00D57B03" w:rsidRPr="00D57B03" w:rsidRDefault="00736F52" w:rsidP="00D57B0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Flying Speed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DC8526" w14:textId="7ECC8493" w:rsidR="00D57B03" w:rsidRPr="00D57B03" w:rsidRDefault="00D57B03" w:rsidP="00D57B0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D57B03"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4</w:t>
            </w:r>
            <w:r w:rsidR="00F94230">
              <w:rPr>
                <w:rFonts w:ascii="Microsoft YaHei UI" w:eastAsia="Microsoft YaHei UI" w:hAnsi="Microsoft YaHei UI" w:cs="宋体"/>
                <w:color w:val="323232"/>
                <w:spacing w:val="8"/>
                <w:kern w:val="0"/>
                <w:szCs w:val="21"/>
              </w:rPr>
              <w:t xml:space="preserve"> </w:t>
            </w:r>
            <w:r w:rsidRPr="00D57B03"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m/s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ECE8DC" w14:textId="77777777" w:rsidR="00D57B03" w:rsidRPr="00D57B03" w:rsidRDefault="00485E00" w:rsidP="00D57B0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/>
                <w:color w:val="323232"/>
                <w:spacing w:val="8"/>
                <w:kern w:val="0"/>
                <w:szCs w:val="21"/>
              </w:rPr>
              <w:t>H</w:t>
            </w:r>
            <w:r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orizontal distance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AE0288" w14:textId="320BF9C3" w:rsidR="00D57B03" w:rsidRPr="00D57B03" w:rsidRDefault="00D57B03" w:rsidP="00D57B0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D57B03"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5</w:t>
            </w:r>
            <w:r w:rsidR="00F94230">
              <w:rPr>
                <w:rFonts w:ascii="Microsoft YaHei UI" w:eastAsia="Microsoft YaHei UI" w:hAnsi="Microsoft YaHei UI" w:cs="宋体"/>
                <w:color w:val="323232"/>
                <w:spacing w:val="8"/>
                <w:kern w:val="0"/>
                <w:szCs w:val="21"/>
              </w:rPr>
              <w:t xml:space="preserve"> </w:t>
            </w:r>
            <w:r w:rsidRPr="00D57B03"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M</w:t>
            </w:r>
          </w:p>
        </w:tc>
      </w:tr>
      <w:tr w:rsidR="00F94230" w:rsidRPr="00D57B03" w14:paraId="517D2030" w14:textId="77777777" w:rsidTr="00822AE1">
        <w:trPr>
          <w:trHeight w:val="465"/>
        </w:trPr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C483DF" w14:textId="77777777" w:rsidR="00D57B03" w:rsidRPr="00D57B03" w:rsidRDefault="00736F52" w:rsidP="00D57B0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 xml:space="preserve">Spraying </w:t>
            </w:r>
            <w:r>
              <w:rPr>
                <w:rFonts w:ascii="Microsoft YaHei UI" w:eastAsia="Microsoft YaHei UI" w:hAnsi="Microsoft YaHei UI" w:cs="宋体"/>
                <w:color w:val="323232"/>
                <w:spacing w:val="8"/>
                <w:kern w:val="0"/>
                <w:szCs w:val="21"/>
              </w:rPr>
              <w:t>opening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03F58E" w14:textId="77777777" w:rsidR="00D57B03" w:rsidRPr="00D57B03" w:rsidRDefault="00D57B03" w:rsidP="00D57B0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D57B03"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50%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EFFFA8" w14:textId="77777777" w:rsidR="00D57B03" w:rsidRPr="00D57B03" w:rsidRDefault="00485E00" w:rsidP="00D57B0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/>
                <w:color w:val="323232"/>
                <w:spacing w:val="8"/>
                <w:kern w:val="0"/>
                <w:szCs w:val="21"/>
              </w:rPr>
              <w:t>R</w:t>
            </w:r>
            <w:r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otary speed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2FBD46" w14:textId="461B868B" w:rsidR="00D57B03" w:rsidRPr="00D57B03" w:rsidRDefault="00D57B0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D57B03">
              <w:rPr>
                <w:rFonts w:ascii="Microsoft YaHei UI" w:eastAsia="Microsoft YaHei UI" w:hAnsi="Microsoft YaHei UI" w:cs="宋体" w:hint="eastAsia"/>
                <w:color w:val="323232"/>
                <w:spacing w:val="8"/>
                <w:kern w:val="0"/>
                <w:szCs w:val="21"/>
              </w:rPr>
              <w:t>700</w:t>
            </w:r>
            <w:r w:rsidR="00F94230">
              <w:rPr>
                <w:rFonts w:ascii="Microsoft YaHei UI" w:eastAsia="Microsoft YaHei UI" w:hAnsi="Microsoft YaHei UI" w:cs="宋体"/>
                <w:color w:val="323232"/>
                <w:spacing w:val="8"/>
                <w:kern w:val="0"/>
                <w:szCs w:val="21"/>
              </w:rPr>
              <w:t xml:space="preserve"> rpm</w:t>
            </w:r>
          </w:p>
        </w:tc>
      </w:tr>
    </w:tbl>
    <w:p w14:paraId="4848B1A5" w14:textId="5833C89E" w:rsidR="00D57B03" w:rsidRDefault="00F94230" w:rsidP="00166301">
      <w:pPr>
        <w:jc w:val="left"/>
      </w:pPr>
      <w:r w:rsidDel="00F94230">
        <w:rPr>
          <w:rFonts w:hint="eastAsia"/>
        </w:rPr>
        <w:t xml:space="preserve"> </w:t>
      </w:r>
      <w:r w:rsidR="00166301">
        <w:rPr>
          <w:rFonts w:hint="eastAsia"/>
          <w:noProof/>
        </w:rPr>
        <w:lastRenderedPageBreak/>
        <w:drawing>
          <wp:inline distT="0" distB="0" distL="0" distR="0" wp14:anchorId="6E83EFE0" wp14:editId="56965597">
            <wp:extent cx="5267325" cy="3714750"/>
            <wp:effectExtent l="0" t="0" r="9525" b="0"/>
            <wp:docPr id="3" name="图片 3" descr="C:\Users\tyler.feng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yler.feng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0BBC7" w14:textId="41569252" w:rsidR="00F94230" w:rsidRDefault="00F94230" w:rsidP="00822AE1">
      <w:pPr>
        <w:jc w:val="center"/>
      </w:pPr>
      <w:r>
        <w:rPr>
          <w:rFonts w:hint="eastAsia"/>
        </w:rPr>
        <w:t xml:space="preserve">Distribution </w:t>
      </w:r>
      <w:r>
        <w:t xml:space="preserve">in the field </w:t>
      </w:r>
      <w:r>
        <w:rPr>
          <w:rFonts w:hint="eastAsia"/>
        </w:rPr>
        <w:t>after spraying</w:t>
      </w:r>
    </w:p>
    <w:p w14:paraId="27D3E979" w14:textId="77777777" w:rsidR="00166301" w:rsidRDefault="00166301" w:rsidP="00D57B03"/>
    <w:p w14:paraId="07B09B54" w14:textId="77777777" w:rsidR="00166301" w:rsidRDefault="00166301" w:rsidP="00D57B03">
      <w:r>
        <w:rPr>
          <w:rFonts w:hint="eastAsia"/>
          <w:noProof/>
        </w:rPr>
        <w:drawing>
          <wp:inline distT="0" distB="0" distL="0" distR="0" wp14:anchorId="605E6D60" wp14:editId="2196EED1">
            <wp:extent cx="5267325" cy="3552825"/>
            <wp:effectExtent l="0" t="0" r="9525" b="9525"/>
            <wp:docPr id="4" name="图片 4" descr="C:\Users\tyler.feng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yler.feng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3AD39" w14:textId="77777777" w:rsidR="00D57B03" w:rsidRDefault="00D57B03" w:rsidP="00D57B03"/>
    <w:p w14:paraId="48593707" w14:textId="6AA09ABC" w:rsidR="00D57B03" w:rsidRDefault="00485E00" w:rsidP="00D57B03">
      <w:r>
        <w:t>A</w:t>
      </w:r>
      <w:r>
        <w:rPr>
          <w:rFonts w:hint="eastAsia"/>
        </w:rPr>
        <w:t xml:space="preserve">fter </w:t>
      </w:r>
      <w:r>
        <w:t xml:space="preserve">the spraying was complete, the farmers </w:t>
      </w:r>
      <w:r w:rsidR="00F94230">
        <w:t xml:space="preserve">satisfied to </w:t>
      </w:r>
      <w:r>
        <w:t xml:space="preserve">see the particles distributed evenly in the field. </w:t>
      </w:r>
      <w:r w:rsidR="00F94230">
        <w:t>Jing Yang</w:t>
      </w:r>
      <w:r>
        <w:t xml:space="preserve"> </w:t>
      </w:r>
      <w:r w:rsidR="00F94230">
        <w:t xml:space="preserve">concluded </w:t>
      </w:r>
      <w:r>
        <w:t xml:space="preserve">that UAV spraying can greatly reduce labor and operation costs. </w:t>
      </w:r>
      <w:r w:rsidR="00F94230">
        <w:t xml:space="preserve">Long-term </w:t>
      </w:r>
      <w:r w:rsidR="000629A7">
        <w:t xml:space="preserve">effects are subject to further observation. If it is possible, he plans to apply aerial spraying in all his fields next year. </w:t>
      </w:r>
    </w:p>
    <w:p w14:paraId="21A0E0C9" w14:textId="77777777" w:rsidR="00D57B03" w:rsidRDefault="00D57B03" w:rsidP="00D57B03"/>
    <w:p w14:paraId="33DC3F4F" w14:textId="0F57B4FD" w:rsidR="00D57B03" w:rsidRDefault="000629A7" w:rsidP="00D57B03">
      <w:r>
        <w:rPr>
          <w:rFonts w:hint="eastAsia"/>
        </w:rPr>
        <w:t xml:space="preserve">For Jing Yang, this </w:t>
      </w:r>
      <w:r w:rsidR="00F94230">
        <w:t>demonstration</w:t>
      </w:r>
      <w:r w:rsidR="00F94230">
        <w:rPr>
          <w:rFonts w:hint="eastAsia"/>
        </w:rPr>
        <w:t xml:space="preserve"> </w:t>
      </w:r>
      <w:r>
        <w:rPr>
          <w:rFonts w:hint="eastAsia"/>
        </w:rPr>
        <w:t>is of great significance. Successful spraying of pesticide and fertilizer can help develop the local rice market and replace traditional manual spraying method</w:t>
      </w:r>
      <w:r w:rsidR="00F94230">
        <w:t>s</w:t>
      </w:r>
      <w:r>
        <w:rPr>
          <w:rFonts w:hint="eastAsia"/>
        </w:rPr>
        <w:t xml:space="preserve">. </w:t>
      </w:r>
      <w:r>
        <w:t xml:space="preserve">He is confident about the future application of aerial spraying. </w:t>
      </w:r>
    </w:p>
    <w:p w14:paraId="23758DB2" w14:textId="77777777" w:rsidR="005A6175" w:rsidRDefault="005A6175" w:rsidP="00D57B03">
      <w:r>
        <w:rPr>
          <w:noProof/>
        </w:rPr>
        <w:drawing>
          <wp:inline distT="0" distB="0" distL="0" distR="0" wp14:anchorId="365493D4" wp14:editId="65B805ED">
            <wp:extent cx="5267325" cy="3952875"/>
            <wp:effectExtent l="0" t="0" r="9525" b="9525"/>
            <wp:docPr id="6" name="图片 6" descr="C:\Users\tyler.feng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ler.feng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14B05" w14:textId="77777777" w:rsidR="00BA2D31" w:rsidRDefault="00BA2D31" w:rsidP="00D57B03"/>
    <w:p w14:paraId="0207FA74" w14:textId="77777777" w:rsidR="00BA2D31" w:rsidRDefault="00BA2D31" w:rsidP="00D57B03"/>
    <w:sectPr w:rsidR="00BA2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CD"/>
    <w:rsid w:val="000629A7"/>
    <w:rsid w:val="0006772C"/>
    <w:rsid w:val="001323C5"/>
    <w:rsid w:val="00166301"/>
    <w:rsid w:val="001C7A58"/>
    <w:rsid w:val="00234364"/>
    <w:rsid w:val="00300EA6"/>
    <w:rsid w:val="00310E39"/>
    <w:rsid w:val="003345F8"/>
    <w:rsid w:val="0038397F"/>
    <w:rsid w:val="00481FB1"/>
    <w:rsid w:val="00485E00"/>
    <w:rsid w:val="004C5851"/>
    <w:rsid w:val="00527F07"/>
    <w:rsid w:val="0053352D"/>
    <w:rsid w:val="005A6175"/>
    <w:rsid w:val="00617218"/>
    <w:rsid w:val="006468FB"/>
    <w:rsid w:val="006561BC"/>
    <w:rsid w:val="006659AE"/>
    <w:rsid w:val="00736F52"/>
    <w:rsid w:val="00784207"/>
    <w:rsid w:val="00807C3C"/>
    <w:rsid w:val="00822AE1"/>
    <w:rsid w:val="00845C6B"/>
    <w:rsid w:val="00856C79"/>
    <w:rsid w:val="00886689"/>
    <w:rsid w:val="00895EF7"/>
    <w:rsid w:val="008A36A1"/>
    <w:rsid w:val="009458CD"/>
    <w:rsid w:val="009827B0"/>
    <w:rsid w:val="009C6A10"/>
    <w:rsid w:val="00A55452"/>
    <w:rsid w:val="00AD284B"/>
    <w:rsid w:val="00B45E52"/>
    <w:rsid w:val="00BA2D31"/>
    <w:rsid w:val="00CB6554"/>
    <w:rsid w:val="00CC2FEE"/>
    <w:rsid w:val="00D21B9F"/>
    <w:rsid w:val="00D260E8"/>
    <w:rsid w:val="00D57B03"/>
    <w:rsid w:val="00D66058"/>
    <w:rsid w:val="00E07515"/>
    <w:rsid w:val="00E50C26"/>
    <w:rsid w:val="00E60191"/>
    <w:rsid w:val="00F11771"/>
    <w:rsid w:val="00F2048D"/>
    <w:rsid w:val="00F6729B"/>
    <w:rsid w:val="00F8322B"/>
    <w:rsid w:val="00F94230"/>
    <w:rsid w:val="00FA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6005"/>
  <w15:chartTrackingRefBased/>
  <w15:docId w15:val="{4A959294-EEC5-47E2-81E8-D70B1A97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B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22AE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22A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Tyler.Feng(冯太洋)</dc:creator>
  <cp:keywords/>
  <dc:description/>
  <cp:lastModifiedBy>Corin Ko</cp:lastModifiedBy>
  <cp:revision>3</cp:revision>
  <dcterms:created xsi:type="dcterms:W3CDTF">2020-05-21T07:24:00Z</dcterms:created>
  <dcterms:modified xsi:type="dcterms:W3CDTF">2020-05-21T07:24:00Z</dcterms:modified>
</cp:coreProperties>
</file>